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97" w:rsidRDefault="000F5038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>关于对胜利德润能源股份有限公司的</w:t>
      </w:r>
    </w:p>
    <w:p w:rsidR="00B71097" w:rsidRDefault="000F5038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>年报问询函</w:t>
      </w:r>
    </w:p>
    <w:p w:rsidR="00B71097" w:rsidRPr="00FE679B" w:rsidRDefault="000F5038">
      <w:pPr>
        <w:jc w:val="right"/>
        <w:rPr>
          <w:rFonts w:ascii="仿宋" w:eastAsia="仿宋" w:hAnsi="仿宋" w:cstheme="minorBidi"/>
          <w:sz w:val="24"/>
        </w:rPr>
      </w:pPr>
      <w:r w:rsidRPr="00FE679B">
        <w:rPr>
          <w:rFonts w:ascii="仿宋" w:eastAsia="仿宋" w:hAnsi="仿宋" w:cstheme="minorBidi"/>
          <w:sz w:val="24"/>
        </w:rPr>
        <w:t>年报问</w:t>
      </w:r>
      <w:bookmarkStart w:id="0" w:name="_GoBack"/>
      <w:bookmarkEnd w:id="0"/>
      <w:r w:rsidRPr="00FE679B">
        <w:rPr>
          <w:rFonts w:ascii="仿宋" w:eastAsia="仿宋" w:hAnsi="仿宋" w:cstheme="minorBidi"/>
          <w:sz w:val="24"/>
        </w:rPr>
        <w:t>询函【2018】第</w:t>
      </w:r>
      <w:r w:rsidR="00500462" w:rsidRPr="00FE679B">
        <w:rPr>
          <w:rFonts w:ascii="仿宋" w:eastAsia="仿宋" w:hAnsi="仿宋" w:cstheme="minorBidi"/>
          <w:sz w:val="24"/>
        </w:rPr>
        <w:t>101</w:t>
      </w:r>
      <w:r w:rsidRPr="00FE679B">
        <w:rPr>
          <w:rFonts w:ascii="仿宋" w:eastAsia="仿宋" w:hAnsi="仿宋" w:cstheme="minorBidi"/>
          <w:sz w:val="24"/>
        </w:rPr>
        <w:t>号</w:t>
      </w:r>
    </w:p>
    <w:p w:rsidR="00500462" w:rsidRDefault="00500462">
      <w:pPr>
        <w:jc w:val="right"/>
        <w:rPr>
          <w:rFonts w:ascii="仿宋" w:eastAsia="仿宋" w:hAnsi="仿宋"/>
          <w:sz w:val="23"/>
        </w:rPr>
      </w:pPr>
    </w:p>
    <w:p w:rsidR="00500462" w:rsidRPr="00FE679B" w:rsidRDefault="00500462">
      <w:pPr>
        <w:jc w:val="right"/>
        <w:rPr>
          <w:rFonts w:ascii="仿宋" w:eastAsia="仿宋" w:hAnsi="仿宋"/>
          <w:sz w:val="23"/>
        </w:rPr>
      </w:pPr>
    </w:p>
    <w:p w:rsidR="00B71097" w:rsidRDefault="000F5038">
      <w:pPr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胜利德润能源股份有限公司（德润能源）董事会：</w:t>
      </w:r>
    </w:p>
    <w:p w:rsidR="00B71097" w:rsidRDefault="000F5038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>
        <w:rPr>
          <w:rFonts w:ascii="仿宋" w:eastAsia="仿宋" w:hAnsi="仿宋"/>
          <w:sz w:val="28"/>
        </w:rPr>
        <w:t>我部在挂牌公司年度报告事后审查中关注到以下情况：</w:t>
      </w: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1、关于审计报告保留意见</w:t>
      </w:r>
    </w:p>
    <w:p w:rsidR="00AA0F43" w:rsidRDefault="000F5038" w:rsidP="00295294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你公司财务报表被会计师出具了保留意见的审计报告。审计报告称，德润能源公司及其子公司资金管理制度不健全，存在大额异常往来款，</w:t>
      </w:r>
      <w:r w:rsidR="00AA0F43">
        <w:rPr>
          <w:rFonts w:ascii="仿宋" w:eastAsia="仿宋" w:hAnsi="仿宋" w:hint="eastAsia"/>
          <w:sz w:val="28"/>
        </w:rPr>
        <w:t>会计师</w:t>
      </w:r>
      <w:r>
        <w:rPr>
          <w:rFonts w:ascii="仿宋" w:eastAsia="仿宋" w:hAnsi="仿宋"/>
          <w:sz w:val="28"/>
        </w:rPr>
        <w:t>未能获取令人满意的审计证据，从而无法确定其交易实质。</w:t>
      </w:r>
      <w:r w:rsidR="00FB2620">
        <w:rPr>
          <w:rFonts w:ascii="仿宋" w:eastAsia="仿宋" w:hAnsi="仿宋" w:hint="eastAsia"/>
          <w:sz w:val="28"/>
        </w:rPr>
        <w:t>公司</w:t>
      </w:r>
      <w:r w:rsidR="00FB2620">
        <w:rPr>
          <w:rFonts w:ascii="仿宋" w:eastAsia="仿宋" w:hAnsi="仿宋"/>
          <w:sz w:val="28"/>
        </w:rPr>
        <w:t>董事会在对非标意见的专项说明中指出：“</w:t>
      </w:r>
      <w:r w:rsidR="00FB2620">
        <w:rPr>
          <w:rFonts w:ascii="仿宋" w:eastAsia="仿宋" w:hAnsi="仿宋" w:hint="eastAsia"/>
          <w:sz w:val="28"/>
        </w:rPr>
        <w:t>对于</w:t>
      </w:r>
      <w:r w:rsidR="00FB2620">
        <w:rPr>
          <w:rFonts w:ascii="仿宋" w:eastAsia="仿宋" w:hAnsi="仿宋"/>
          <w:sz w:val="28"/>
        </w:rPr>
        <w:t>借出的部分款项未能及时收回，</w:t>
      </w:r>
      <w:r w:rsidR="00FB2620">
        <w:rPr>
          <w:rFonts w:ascii="仿宋" w:eastAsia="仿宋" w:hAnsi="仿宋" w:hint="eastAsia"/>
          <w:sz w:val="28"/>
        </w:rPr>
        <w:t>以及</w:t>
      </w:r>
      <w:r w:rsidR="00FB2620">
        <w:rPr>
          <w:rFonts w:ascii="仿宋" w:eastAsia="仿宋" w:hAnsi="仿宋"/>
          <w:sz w:val="28"/>
        </w:rPr>
        <w:t>部分形成费用的未能及时进行</w:t>
      </w:r>
      <w:r w:rsidR="00FB2620">
        <w:rPr>
          <w:rFonts w:ascii="仿宋" w:eastAsia="仿宋" w:hAnsi="仿宋" w:hint="eastAsia"/>
          <w:sz w:val="28"/>
        </w:rPr>
        <w:t>账务</w:t>
      </w:r>
      <w:r w:rsidR="00FB2620">
        <w:rPr>
          <w:rFonts w:ascii="仿宋" w:eastAsia="仿宋" w:hAnsi="仿宋"/>
          <w:sz w:val="28"/>
        </w:rPr>
        <w:t>处理”</w:t>
      </w:r>
      <w:r w:rsidR="00FB2620">
        <w:rPr>
          <w:rFonts w:ascii="仿宋" w:eastAsia="仿宋" w:hAnsi="仿宋" w:hint="eastAsia"/>
          <w:sz w:val="28"/>
        </w:rPr>
        <w:t>。</w:t>
      </w:r>
    </w:p>
    <w:p w:rsidR="00FB2620" w:rsidRDefault="000F5038">
      <w:pPr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AA0F43">
        <w:rPr>
          <w:rFonts w:ascii="仿宋" w:eastAsia="仿宋" w:hAnsi="仿宋"/>
          <w:b/>
          <w:sz w:val="28"/>
        </w:rPr>
        <w:t>请</w:t>
      </w:r>
      <w:r w:rsidR="00FD4BC2">
        <w:rPr>
          <w:rFonts w:ascii="仿宋" w:eastAsia="仿宋" w:hAnsi="仿宋" w:hint="eastAsia"/>
          <w:b/>
          <w:sz w:val="28"/>
        </w:rPr>
        <w:t>你</w:t>
      </w:r>
      <w:r w:rsidRPr="00AA0F43">
        <w:rPr>
          <w:rFonts w:ascii="仿宋" w:eastAsia="仿宋" w:hAnsi="仿宋"/>
          <w:b/>
          <w:sz w:val="28"/>
        </w:rPr>
        <w:t>公司</w:t>
      </w:r>
      <w:r w:rsidR="00FB2620">
        <w:rPr>
          <w:rFonts w:ascii="仿宋" w:eastAsia="仿宋" w:hAnsi="仿宋" w:hint="eastAsia"/>
          <w:b/>
          <w:sz w:val="28"/>
        </w:rPr>
        <w:t>说明</w:t>
      </w:r>
      <w:r w:rsidR="00FB2620">
        <w:rPr>
          <w:rFonts w:ascii="仿宋" w:eastAsia="仿宋" w:hAnsi="仿宋"/>
          <w:b/>
          <w:sz w:val="28"/>
        </w:rPr>
        <w:t>：</w:t>
      </w:r>
    </w:p>
    <w:p w:rsidR="00B71097" w:rsidRDefault="000955BA">
      <w:pPr>
        <w:ind w:firstLineChars="200" w:firstLine="562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（1）截至</w:t>
      </w:r>
      <w:r>
        <w:rPr>
          <w:rFonts w:ascii="仿宋" w:eastAsia="仿宋" w:hAnsi="仿宋"/>
          <w:b/>
          <w:sz w:val="28"/>
        </w:rPr>
        <w:t>报告期末，</w:t>
      </w:r>
      <w:r w:rsidR="00FB2620">
        <w:rPr>
          <w:rFonts w:ascii="仿宋" w:eastAsia="仿宋" w:hAnsi="仿宋" w:hint="eastAsia"/>
          <w:b/>
          <w:sz w:val="28"/>
        </w:rPr>
        <w:t>未及时收回</w:t>
      </w:r>
      <w:r w:rsidR="00FB2620">
        <w:rPr>
          <w:rFonts w:ascii="仿宋" w:eastAsia="仿宋" w:hAnsi="仿宋"/>
          <w:b/>
          <w:sz w:val="28"/>
        </w:rPr>
        <w:t>的借款总额</w:t>
      </w:r>
      <w:r>
        <w:rPr>
          <w:rFonts w:ascii="仿宋" w:eastAsia="仿宋" w:hAnsi="仿宋" w:hint="eastAsia"/>
          <w:b/>
          <w:sz w:val="28"/>
        </w:rPr>
        <w:t>，按</w:t>
      </w:r>
      <w:r>
        <w:rPr>
          <w:rFonts w:ascii="仿宋" w:eastAsia="仿宋" w:hAnsi="仿宋"/>
          <w:b/>
          <w:sz w:val="28"/>
        </w:rPr>
        <w:t>借款对象</w:t>
      </w:r>
      <w:r>
        <w:rPr>
          <w:rFonts w:ascii="仿宋" w:eastAsia="仿宋" w:hAnsi="仿宋" w:hint="eastAsia"/>
          <w:b/>
          <w:sz w:val="28"/>
        </w:rPr>
        <w:t>分别</w:t>
      </w:r>
      <w:r>
        <w:rPr>
          <w:rFonts w:ascii="仿宋" w:eastAsia="仿宋" w:hAnsi="仿宋"/>
          <w:b/>
          <w:sz w:val="28"/>
        </w:rPr>
        <w:t>列示借款金额和借款期限，</w:t>
      </w:r>
      <w:r w:rsidR="00FD4BC2">
        <w:rPr>
          <w:rFonts w:ascii="仿宋" w:eastAsia="仿宋" w:hAnsi="仿宋" w:hint="eastAsia"/>
          <w:b/>
          <w:sz w:val="28"/>
        </w:rPr>
        <w:t>分别</w:t>
      </w:r>
      <w:r w:rsidR="00FD4BC2">
        <w:rPr>
          <w:rFonts w:ascii="仿宋" w:eastAsia="仿宋" w:hAnsi="仿宋"/>
          <w:b/>
          <w:sz w:val="28"/>
        </w:rPr>
        <w:t>说明</w:t>
      </w:r>
      <w:r>
        <w:rPr>
          <w:rFonts w:ascii="仿宋" w:eastAsia="仿宋" w:hAnsi="仿宋"/>
          <w:b/>
          <w:sz w:val="28"/>
        </w:rPr>
        <w:t>是否涉及关联方借款</w:t>
      </w:r>
      <w:r w:rsidR="00FD4BC2">
        <w:rPr>
          <w:rFonts w:ascii="仿宋" w:eastAsia="仿宋" w:hAnsi="仿宋" w:hint="eastAsia"/>
          <w:b/>
          <w:sz w:val="28"/>
        </w:rPr>
        <w:t>，</w:t>
      </w:r>
      <w:r w:rsidR="00FD4BC2">
        <w:rPr>
          <w:rFonts w:ascii="仿宋" w:eastAsia="仿宋" w:hAnsi="仿宋"/>
          <w:b/>
          <w:sz w:val="28"/>
        </w:rPr>
        <w:t>是否已履行必要的审议程序</w:t>
      </w:r>
      <w:r w:rsidR="00FD4BC2">
        <w:rPr>
          <w:rFonts w:ascii="仿宋" w:eastAsia="仿宋" w:hAnsi="仿宋" w:hint="eastAsia"/>
          <w:b/>
          <w:sz w:val="28"/>
        </w:rPr>
        <w:t>，</w:t>
      </w:r>
      <w:r w:rsidR="00FD4BC2">
        <w:rPr>
          <w:rFonts w:ascii="仿宋" w:eastAsia="仿宋" w:hAnsi="仿宋"/>
          <w:b/>
          <w:sz w:val="28"/>
        </w:rPr>
        <w:t>说明期后回款情况</w:t>
      </w:r>
      <w:r w:rsidR="00295294">
        <w:rPr>
          <w:rFonts w:ascii="仿宋" w:eastAsia="仿宋" w:hAnsi="仿宋" w:hint="eastAsia"/>
          <w:b/>
          <w:sz w:val="28"/>
        </w:rPr>
        <w:t>；</w:t>
      </w:r>
    </w:p>
    <w:p w:rsidR="00FD4BC2" w:rsidRPr="00FD4BC2" w:rsidRDefault="00FD4BC2">
      <w:pPr>
        <w:ind w:firstLineChars="200" w:firstLine="562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（2）截至</w:t>
      </w:r>
      <w:r>
        <w:rPr>
          <w:rFonts w:ascii="仿宋" w:eastAsia="仿宋" w:hAnsi="仿宋"/>
          <w:b/>
          <w:sz w:val="28"/>
        </w:rPr>
        <w:t>报告期末，未及时进行账务处理的费用总额，</w:t>
      </w:r>
      <w:r>
        <w:rPr>
          <w:rFonts w:ascii="仿宋" w:eastAsia="仿宋" w:hAnsi="仿宋" w:hint="eastAsia"/>
          <w:b/>
          <w:sz w:val="28"/>
        </w:rPr>
        <w:t>如涉及</w:t>
      </w:r>
      <w:r>
        <w:rPr>
          <w:rFonts w:ascii="仿宋" w:eastAsia="仿宋" w:hAnsi="仿宋"/>
          <w:b/>
          <w:sz w:val="28"/>
        </w:rPr>
        <w:t>会计差错，请及时更正</w:t>
      </w:r>
      <w:r>
        <w:rPr>
          <w:rFonts w:ascii="仿宋" w:eastAsia="仿宋" w:hAnsi="仿宋" w:hint="eastAsia"/>
          <w:b/>
          <w:sz w:val="28"/>
        </w:rPr>
        <w:t>2017年</w:t>
      </w:r>
      <w:r>
        <w:rPr>
          <w:rFonts w:ascii="仿宋" w:eastAsia="仿宋" w:hAnsi="仿宋"/>
          <w:b/>
          <w:sz w:val="28"/>
        </w:rPr>
        <w:t>年度报告</w:t>
      </w:r>
      <w:r>
        <w:rPr>
          <w:rFonts w:ascii="仿宋" w:eastAsia="仿宋" w:hAnsi="仿宋" w:hint="eastAsia"/>
          <w:b/>
          <w:sz w:val="28"/>
        </w:rPr>
        <w:t>。</w:t>
      </w:r>
    </w:p>
    <w:p w:rsidR="00B71097" w:rsidRDefault="00B71097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2、关于持续经营能力</w:t>
      </w:r>
    </w:p>
    <w:p w:rsidR="00FD4BC2" w:rsidRDefault="000F5038" w:rsidP="00295294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你公司2017年报披露，截止2017年末应付职工薪酬3,823,432.68元，较上期增加了394.41%，主要原因是2017 年末公司资金紧张，未能及时支付工资。期末货币资金1,237,273.48元。</w:t>
      </w:r>
      <w:r>
        <w:rPr>
          <w:rFonts w:ascii="仿宋" w:eastAsia="仿宋" w:hAnsi="仿宋"/>
          <w:sz w:val="28"/>
        </w:rPr>
        <w:lastRenderedPageBreak/>
        <w:t>现金流量表中支付其他与筹资活动有关的现金3,562,744.28元，性质为暂借款。</w:t>
      </w:r>
    </w:p>
    <w:p w:rsidR="00B71097" w:rsidRPr="00FD4BC2" w:rsidRDefault="000F5038">
      <w:pPr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FD4BC2">
        <w:rPr>
          <w:rFonts w:ascii="仿宋" w:eastAsia="仿宋" w:hAnsi="仿宋"/>
          <w:b/>
          <w:sz w:val="28"/>
        </w:rPr>
        <w:t>请你公司：</w:t>
      </w: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（1）说明期后工资支付情况，是否存在逾期尚未支付等损害公司员工合法权益的情形</w:t>
      </w:r>
      <w:r w:rsidR="00295294">
        <w:rPr>
          <w:rFonts w:ascii="仿宋" w:eastAsia="仿宋" w:hAnsi="仿宋" w:hint="eastAsia"/>
          <w:b/>
          <w:bCs/>
          <w:sz w:val="28"/>
        </w:rPr>
        <w:t>；</w:t>
      </w: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（2）年报第五节重要事项中是否对外提供借款显示为“否”，请</w:t>
      </w:r>
      <w:r w:rsidR="00FD4BC2">
        <w:rPr>
          <w:rFonts w:ascii="仿宋" w:eastAsia="仿宋" w:hAnsi="仿宋" w:hint="eastAsia"/>
          <w:b/>
          <w:bCs/>
          <w:sz w:val="28"/>
        </w:rPr>
        <w:t>你公司</w:t>
      </w:r>
      <w:r w:rsidR="00FD4BC2">
        <w:rPr>
          <w:rFonts w:ascii="仿宋" w:eastAsia="仿宋" w:hAnsi="仿宋"/>
          <w:b/>
          <w:bCs/>
          <w:sz w:val="28"/>
        </w:rPr>
        <w:t>结合现金流量表中支付其他与筹资活动有关的现金进行说明</w:t>
      </w:r>
      <w:r w:rsidR="00295294">
        <w:rPr>
          <w:rFonts w:ascii="仿宋" w:eastAsia="仿宋" w:hAnsi="仿宋" w:hint="eastAsia"/>
          <w:b/>
          <w:bCs/>
          <w:sz w:val="28"/>
        </w:rPr>
        <w:t>；</w:t>
      </w: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（3）公司目前资金紧张，但却有大量对外借款，请说明对外借款发生的原因，归还情况</w:t>
      </w:r>
      <w:r w:rsidR="00295294">
        <w:rPr>
          <w:rFonts w:ascii="仿宋" w:eastAsia="仿宋" w:hAnsi="仿宋" w:hint="eastAsia"/>
          <w:b/>
          <w:bCs/>
          <w:sz w:val="28"/>
        </w:rPr>
        <w:t>；</w:t>
      </w: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（4）结合目前公司运营情况，说明是否存在资金断裂的风险。</w:t>
      </w:r>
    </w:p>
    <w:p w:rsidR="00B71097" w:rsidRDefault="00B71097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3、关于其他应收款</w:t>
      </w:r>
    </w:p>
    <w:p w:rsidR="00FD4BC2" w:rsidRDefault="000F5038" w:rsidP="00295294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你公司2017年报披露，截止2017年末其他应收款余额为37,838,837.78元，较上期增长61.69%。其他应收款中应收康彦彦5,321,797.00元，应收隋炳辉2,400,000.00元，应收何松2,265,205.48元，应收王洋2,100,000.00元，应收东营润发投资有限公司2,200,000.00元。</w:t>
      </w:r>
    </w:p>
    <w:p w:rsidR="00B71097" w:rsidRPr="00FD4BC2" w:rsidRDefault="000F5038">
      <w:pPr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FD4BC2">
        <w:rPr>
          <w:rFonts w:ascii="仿宋" w:eastAsia="仿宋" w:hAnsi="仿宋"/>
          <w:b/>
          <w:sz w:val="28"/>
        </w:rPr>
        <w:t>请</w:t>
      </w:r>
      <w:r w:rsidR="00FD4BC2" w:rsidRPr="00FD4BC2">
        <w:rPr>
          <w:rFonts w:ascii="仿宋" w:eastAsia="仿宋" w:hAnsi="仿宋" w:hint="eastAsia"/>
          <w:b/>
          <w:sz w:val="28"/>
        </w:rPr>
        <w:t>你</w:t>
      </w:r>
      <w:r w:rsidR="00FD4BC2" w:rsidRPr="00FD4BC2">
        <w:rPr>
          <w:rFonts w:ascii="仿宋" w:eastAsia="仿宋" w:hAnsi="仿宋"/>
          <w:b/>
          <w:sz w:val="28"/>
        </w:rPr>
        <w:t>公司</w:t>
      </w:r>
      <w:r w:rsidRPr="00FD4BC2">
        <w:rPr>
          <w:rFonts w:ascii="仿宋" w:eastAsia="仿宋" w:hAnsi="仿宋"/>
          <w:b/>
          <w:sz w:val="28"/>
        </w:rPr>
        <w:t>说明：</w:t>
      </w: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（1）其他应收款期末余额大幅增长的原因；</w:t>
      </w: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t>（2）上述款项的具体性质及未收回的原因。</w:t>
      </w:r>
    </w:p>
    <w:p w:rsidR="00B71097" w:rsidRDefault="00B71097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</w:p>
    <w:p w:rsidR="00B71097" w:rsidRDefault="000F5038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/>
          <w:b/>
          <w:bCs/>
          <w:sz w:val="28"/>
        </w:rPr>
        <w:lastRenderedPageBreak/>
        <w:t>4、关于年报中部分财务数据与财务报表不一致</w:t>
      </w:r>
    </w:p>
    <w:p w:rsidR="00FD4BC2" w:rsidRDefault="000F5038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你公司2017年报“第四节管理层讨论与分析”之“（三）财务分析”中预付账款、其他应收款、存货、长期股权投资等科目列示金额与报表不一致</w:t>
      </w:r>
      <w:r w:rsidR="00FD4BC2">
        <w:rPr>
          <w:rFonts w:ascii="仿宋" w:eastAsia="仿宋" w:hAnsi="仿宋" w:hint="eastAsia"/>
          <w:sz w:val="28"/>
        </w:rPr>
        <w:t>。</w:t>
      </w:r>
    </w:p>
    <w:p w:rsidR="00B71097" w:rsidRPr="00FD4BC2" w:rsidRDefault="000F5038">
      <w:pPr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FD4BC2">
        <w:rPr>
          <w:rFonts w:ascii="仿宋" w:eastAsia="仿宋" w:hAnsi="仿宋"/>
          <w:b/>
          <w:sz w:val="28"/>
        </w:rPr>
        <w:t>请</w:t>
      </w:r>
      <w:r w:rsidR="00FD4BC2">
        <w:rPr>
          <w:rFonts w:ascii="仿宋" w:eastAsia="仿宋" w:hAnsi="仿宋" w:hint="eastAsia"/>
          <w:b/>
          <w:sz w:val="28"/>
        </w:rPr>
        <w:t>你公司</w:t>
      </w:r>
      <w:r w:rsidR="00FD4BC2">
        <w:rPr>
          <w:rFonts w:ascii="仿宋" w:eastAsia="仿宋" w:hAnsi="仿宋"/>
          <w:b/>
          <w:sz w:val="28"/>
        </w:rPr>
        <w:t>进行核查，涉及差错的，请及时</w:t>
      </w:r>
      <w:r w:rsidRPr="00FD4BC2">
        <w:rPr>
          <w:rFonts w:ascii="仿宋" w:eastAsia="仿宋" w:hAnsi="仿宋"/>
          <w:b/>
          <w:sz w:val="28"/>
        </w:rPr>
        <w:t>更正相关数据并重新进行财务分析。</w:t>
      </w:r>
    </w:p>
    <w:p w:rsidR="00B71097" w:rsidRDefault="00B71097">
      <w:pPr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</w:p>
    <w:p w:rsidR="00B71097" w:rsidRDefault="000F5038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>
        <w:rPr>
          <w:rFonts w:ascii="仿宋" w:eastAsia="仿宋" w:hAnsi="仿宋"/>
          <w:sz w:val="28"/>
        </w:rPr>
        <w:t>请你公司就上述问题做出书面说明，并在</w:t>
      </w:r>
      <w:r w:rsidR="00295294">
        <w:rPr>
          <w:rFonts w:ascii="仿宋" w:eastAsia="仿宋" w:hAnsi="仿宋"/>
          <w:sz w:val="28"/>
        </w:rPr>
        <w:t>7</w:t>
      </w:r>
      <w:r>
        <w:rPr>
          <w:rFonts w:ascii="仿宋" w:eastAsia="仿宋" w:hAnsi="仿宋"/>
          <w:sz w:val="28"/>
        </w:rPr>
        <w:t>月</w:t>
      </w:r>
      <w:r w:rsidR="00295294">
        <w:rPr>
          <w:rFonts w:ascii="仿宋" w:eastAsia="仿宋" w:hAnsi="仿宋"/>
          <w:sz w:val="28"/>
        </w:rPr>
        <w:t>1</w:t>
      </w:r>
      <w:r w:rsidR="00745503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/>
          <w:sz w:val="28"/>
        </w:rPr>
        <w:t>日前将有关说明材料报送我部（nianbao@neeq.com.cn），同时抄送主办券商；如披露内容存在错误，请及时更正。</w:t>
      </w:r>
    </w:p>
    <w:p w:rsidR="00B71097" w:rsidRDefault="000F5038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>
        <w:rPr>
          <w:rFonts w:ascii="仿宋" w:eastAsia="仿宋" w:hAnsi="仿宋"/>
          <w:sz w:val="28"/>
        </w:rPr>
        <w:t>特此函告。</w:t>
      </w:r>
    </w:p>
    <w:p w:rsidR="00B71097" w:rsidRDefault="000F5038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公司</w:t>
      </w:r>
      <w:r>
        <w:rPr>
          <w:rFonts w:ascii="仿宋" w:eastAsia="仿宋" w:hAnsi="仿宋" w:hint="eastAsia"/>
          <w:sz w:val="28"/>
        </w:rPr>
        <w:t>监管</w:t>
      </w:r>
      <w:r>
        <w:rPr>
          <w:rFonts w:ascii="仿宋" w:eastAsia="仿宋" w:hAnsi="仿宋"/>
          <w:sz w:val="28"/>
        </w:rPr>
        <w:t>部</w:t>
      </w:r>
    </w:p>
    <w:p w:rsidR="00B71097" w:rsidRDefault="000F5038">
      <w:pPr>
        <w:jc w:val="right"/>
      </w:pPr>
      <w:r>
        <w:rPr>
          <w:rFonts w:ascii="仿宋" w:eastAsia="仿宋" w:hAnsi="仿宋"/>
          <w:sz w:val="28"/>
        </w:rPr>
        <w:t>2018年</w:t>
      </w:r>
      <w:r w:rsidR="00295294">
        <w:rPr>
          <w:rFonts w:ascii="仿宋" w:eastAsia="仿宋" w:hAnsi="仿宋"/>
          <w:sz w:val="28"/>
        </w:rPr>
        <w:t>7</w:t>
      </w:r>
      <w:r>
        <w:rPr>
          <w:rFonts w:ascii="仿宋" w:eastAsia="仿宋" w:hAnsi="仿宋" w:hint="eastAsia"/>
          <w:sz w:val="28"/>
        </w:rPr>
        <w:t>月</w:t>
      </w:r>
      <w:r w:rsidR="00745503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/>
          <w:sz w:val="28"/>
        </w:rPr>
        <w:t>日</w:t>
      </w:r>
    </w:p>
    <w:sectPr w:rsidR="00B7109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3B" w:rsidRDefault="00CF4C3B">
      <w:r>
        <w:separator/>
      </w:r>
    </w:p>
  </w:endnote>
  <w:endnote w:type="continuationSeparator" w:id="0">
    <w:p w:rsidR="00CF4C3B" w:rsidRDefault="00CF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IDFont+F1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97" w:rsidRDefault="000F50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679B" w:rsidRPr="00FE679B">
      <w:rPr>
        <w:noProof/>
        <w:lang w:val="zh-CN"/>
      </w:rPr>
      <w:t>1</w:t>
    </w:r>
    <w:r>
      <w:fldChar w:fldCharType="end"/>
    </w:r>
  </w:p>
  <w:p w:rsidR="00B71097" w:rsidRDefault="00B710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3B" w:rsidRDefault="00CF4C3B">
      <w:r>
        <w:separator/>
      </w:r>
    </w:p>
  </w:footnote>
  <w:footnote w:type="continuationSeparator" w:id="0">
    <w:p w:rsidR="00CF4C3B" w:rsidRDefault="00CF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930B6"/>
    <w:rsid w:val="000955BA"/>
    <w:rsid w:val="00096CD1"/>
    <w:rsid w:val="000E34C4"/>
    <w:rsid w:val="000F5038"/>
    <w:rsid w:val="00172A27"/>
    <w:rsid w:val="001A0D27"/>
    <w:rsid w:val="001C3941"/>
    <w:rsid w:val="002442BF"/>
    <w:rsid w:val="00295294"/>
    <w:rsid w:val="002C6802"/>
    <w:rsid w:val="002F04FF"/>
    <w:rsid w:val="003B4697"/>
    <w:rsid w:val="003D38CB"/>
    <w:rsid w:val="004432C6"/>
    <w:rsid w:val="00471BAB"/>
    <w:rsid w:val="004A1C52"/>
    <w:rsid w:val="004B4193"/>
    <w:rsid w:val="00500462"/>
    <w:rsid w:val="00513212"/>
    <w:rsid w:val="00584530"/>
    <w:rsid w:val="005D427F"/>
    <w:rsid w:val="005E7C6F"/>
    <w:rsid w:val="00667FE4"/>
    <w:rsid w:val="00745503"/>
    <w:rsid w:val="00752D70"/>
    <w:rsid w:val="007C2FB8"/>
    <w:rsid w:val="007C479E"/>
    <w:rsid w:val="008349F6"/>
    <w:rsid w:val="008D5856"/>
    <w:rsid w:val="008F4174"/>
    <w:rsid w:val="00903D44"/>
    <w:rsid w:val="0092795E"/>
    <w:rsid w:val="00AA0F43"/>
    <w:rsid w:val="00B45757"/>
    <w:rsid w:val="00B60C16"/>
    <w:rsid w:val="00B63C2C"/>
    <w:rsid w:val="00B71097"/>
    <w:rsid w:val="00C0383C"/>
    <w:rsid w:val="00C16716"/>
    <w:rsid w:val="00C23D66"/>
    <w:rsid w:val="00C50BAB"/>
    <w:rsid w:val="00C82FCF"/>
    <w:rsid w:val="00CE07B7"/>
    <w:rsid w:val="00CE7470"/>
    <w:rsid w:val="00CF4C3B"/>
    <w:rsid w:val="00D866B5"/>
    <w:rsid w:val="00E81BAD"/>
    <w:rsid w:val="00EA20A3"/>
    <w:rsid w:val="00EC3659"/>
    <w:rsid w:val="00F72E53"/>
    <w:rsid w:val="00FB2620"/>
    <w:rsid w:val="00FD4BC2"/>
    <w:rsid w:val="00FE679B"/>
    <w:rsid w:val="00FF0378"/>
    <w:rsid w:val="01C16D6E"/>
    <w:rsid w:val="06111B9E"/>
    <w:rsid w:val="0B4C2B18"/>
    <w:rsid w:val="14E21050"/>
    <w:rsid w:val="28EC185A"/>
    <w:rsid w:val="29795316"/>
    <w:rsid w:val="5EAD3578"/>
    <w:rsid w:val="64713DD8"/>
    <w:rsid w:val="798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B6C2411-4288-45C3-8279-14368610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CIDFont+F1" w:hAnsi="CIDFont+F1" w:hint="default"/>
      <w:color w:val="000000"/>
      <w:sz w:val="26"/>
      <w:szCs w:val="26"/>
    </w:rPr>
  </w:style>
  <w:style w:type="paragraph" w:styleId="a4">
    <w:name w:val="header"/>
    <w:basedOn w:val="a"/>
    <w:link w:val="Char0"/>
    <w:unhideWhenUsed/>
    <w:rsid w:val="0050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0046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关于对深圳市达特照明股份有限公司的</dc:title>
  <dc:creator>叶莹yy</dc:creator>
  <cp:lastModifiedBy>刘艳玲lyl</cp:lastModifiedBy>
  <cp:revision>8</cp:revision>
  <dcterms:created xsi:type="dcterms:W3CDTF">2018-03-13T11:16:00Z</dcterms:created>
  <dcterms:modified xsi:type="dcterms:W3CDTF">2018-07-04T08:24:00Z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